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0E" w:rsidRDefault="00A1480E" w:rsidP="00910DEF">
      <w:pPr>
        <w:shd w:val="clear" w:color="auto" w:fill="FFFFFF"/>
        <w:spacing w:before="100" w:beforeAutospacing="1"/>
        <w:rPr>
          <w:rFonts w:ascii="Arial" w:hAnsi="Arial" w:cs="Arial"/>
          <w:color w:val="35363B"/>
          <w:shd w:val="clear" w:color="auto" w:fill="FFFFFF"/>
        </w:rPr>
      </w:pPr>
    </w:p>
    <w:p w:rsidR="00456852" w:rsidRDefault="00456852" w:rsidP="007417F7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7417F7" w:rsidRDefault="007417F7" w:rsidP="007417F7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 </w:t>
      </w:r>
      <w:r w:rsidR="00AE2DED">
        <w:rPr>
          <w:rStyle w:val="ab"/>
          <w:rFonts w:ascii="Arial" w:hAnsi="Arial" w:cs="Arial"/>
          <w:color w:val="000000"/>
          <w:sz w:val="21"/>
          <w:szCs w:val="21"/>
        </w:rPr>
        <w:t>Информация Межрайонной  ИФНС России № 5 по Кировской области на февраль  2019 года.</w:t>
      </w:r>
    </w:p>
    <w:p w:rsidR="00AE2DED" w:rsidRDefault="00AE2DED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417F7" w:rsidRDefault="007417F7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Заполнить декларацию по налогу на доходы физических лиц</w:t>
      </w:r>
      <w:r w:rsidR="00685AEE">
        <w:rPr>
          <w:rStyle w:val="ab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b"/>
          <w:rFonts w:ascii="Arial" w:hAnsi="Arial" w:cs="Arial"/>
          <w:color w:val="000000"/>
          <w:sz w:val="21"/>
          <w:szCs w:val="21"/>
        </w:rPr>
        <w:t>можно на сайте ФНС России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7417F7">
        <w:rPr>
          <w:rFonts w:ascii="Arial" w:hAnsi="Arial" w:cs="Arial"/>
          <w:color w:val="000000"/>
          <w:sz w:val="21"/>
          <w:szCs w:val="21"/>
        </w:rPr>
        <w:t xml:space="preserve">С начала года стартовала декларационная кампания, а это означает, что физическим </w:t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лицам необходимо отчитаться о полученных в 2018 году доходах </w:t>
      </w:r>
      <w:r w:rsidR="007417F7"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не позднее  30 апреля 2019 года</w:t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Межрайонная ИФНС России № </w:t>
      </w:r>
      <w:r w:rsidR="00685AEE" w:rsidRPr="003B4FE8">
        <w:rPr>
          <w:rFonts w:ascii="Arial" w:hAnsi="Arial" w:cs="Arial"/>
          <w:color w:val="000000" w:themeColor="text1"/>
          <w:sz w:val="21"/>
          <w:szCs w:val="21"/>
        </w:rPr>
        <w:t>5</w:t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 по </w:t>
      </w:r>
      <w:r w:rsidR="00685AEE" w:rsidRPr="003B4FE8">
        <w:rPr>
          <w:rFonts w:ascii="Arial" w:hAnsi="Arial" w:cs="Arial"/>
          <w:color w:val="000000" w:themeColor="text1"/>
          <w:sz w:val="21"/>
          <w:szCs w:val="21"/>
        </w:rPr>
        <w:t xml:space="preserve">Кировской </w:t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области напоминает.  Декларацию по форме 3-НДФЛ должны представить лица, получившие в 2018 году доходы от продажи жилья, транспортных средств, земельных участков, которые находились в собственности менее трех лет (менее 5 лет – в отношении имущества, приобретенного после 01.01.2016); от продажи ценных бумаг (в том числе акций); от продажи доли в уставном капитале; от сдачи в аренду квартиры, дома, комнаты, автомобиля, гаража и другого имущества; в виде подарка от физических лиц, не являющихся близкими родственниками и другие доходы, при выплате которых не был удержан налог на доходы. </w:t>
      </w:r>
      <w:proofErr w:type="gramStart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Отчитаться о</w:t>
      </w:r>
      <w:proofErr w:type="gramEnd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 своих доходах должны также индивидуальные предприниматели, нотариусы, адвокаты и другие лица, занимающиеся частной практикой.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Оплатить </w:t>
      </w:r>
      <w:proofErr w:type="gramStart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исчисленный</w:t>
      </w:r>
      <w:proofErr w:type="gramEnd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 в декларации НДФЛ необходимо не позднее 15 июля 2019 года.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Специальная программа </w:t>
      </w:r>
      <w:hyperlink r:id="rId6" w:history="1">
        <w:r w:rsidRPr="003B4FE8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«Декларация»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>, размещенная на сайте ФНС России, позволяет автоматически сформировать листы декларации по результатам введенных налогоплательщиком данных.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Заполнить и представить налоговую декларацию о доходах (форма 3-НДФЛ), в том числе с целью получения имущественных и социальных вычетов, удобнее с помощью «</w:t>
      </w:r>
      <w:hyperlink r:id="rId7" w:history="1">
        <w:r w:rsidR="007417F7" w:rsidRPr="003B4FE8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Личного кабинета налогоплательщика для физических лиц</w:t>
        </w:r>
      </w:hyperlink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» на сайте ФНС России. Удобный интерфейс позволяет избежать ошибок при ее заполнении, необходимые сведения о налогоплательщике автоматически переносятся в форму декларации. Подписанную усиленной неквалифицированной электронной подписью декларацию вместе с прилагаемыми документами, </w:t>
      </w:r>
      <w:proofErr w:type="gramStart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возможно</w:t>
      </w:r>
      <w:proofErr w:type="gramEnd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 направить в налоговый орган прямо из Личного кабинета, в котором после проверки декларации отобразятся ее результаты.</w:t>
      </w:r>
    </w:p>
    <w:p w:rsidR="007417F7" w:rsidRPr="003B4FE8" w:rsidRDefault="007417F7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 </w:t>
      </w: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 </w:t>
      </w:r>
    </w:p>
    <w:p w:rsidR="007417F7" w:rsidRDefault="00AE2DED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ab/>
      </w:r>
      <w:r w:rsidR="007417F7">
        <w:rPr>
          <w:rStyle w:val="ab"/>
          <w:rFonts w:ascii="Arial" w:hAnsi="Arial" w:cs="Arial"/>
          <w:color w:val="000000"/>
          <w:sz w:val="21"/>
          <w:szCs w:val="21"/>
        </w:rPr>
        <w:t>О льготах по имущественным налогам следует заявлять своевременно</w:t>
      </w:r>
    </w:p>
    <w:p w:rsidR="007417F7" w:rsidRPr="003B4FE8" w:rsidRDefault="00AE2DED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3B4FE8" w:rsidRPr="003B4FE8" w:rsidRDefault="00BB6430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3B4FE8" w:rsidRPr="003B4FE8">
        <w:rPr>
          <w:rFonts w:ascii="Arial" w:hAnsi="Arial" w:cs="Arial"/>
          <w:color w:val="000000" w:themeColor="text1"/>
          <w:sz w:val="21"/>
          <w:szCs w:val="21"/>
        </w:rPr>
        <w:t>В целях корректного исчисления налога на имущество физических лиц, транспортного и земельного налогов за 2018 год гражданам рекомендуется уведомить налоговый орган о своем праве на льготы по имущественным налогам. В первую очередь это касается физических лиц, у которых в течение прошлого года впервые возникли основания для использования льгот и которые не обратились в налоговые органы с заявлением об их предоставлении.</w:t>
      </w:r>
    </w:p>
    <w:p w:rsidR="003B4FE8" w:rsidRPr="003B4FE8" w:rsidRDefault="003B4FE8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  <w:t>Если заявление о предоставлении налоговой льготы ранее направлялось в налоговый орган и в нем не указывалось на то, что льгота будет использована в ограниченный период, заново представлять заявление не требуется.</w:t>
      </w:r>
    </w:p>
    <w:p w:rsidR="003B4FE8" w:rsidRPr="003B4FE8" w:rsidRDefault="003B4FE8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  <w:t>Представить заявление можно в любой налоговый орган одним из удобных способов: при личном посещении налоговой инспекции, через уполномоченного представителя, почтовым отправлением, через подразделения ГОАУ МФЦ,  либо дистанционно через «</w:t>
      </w:r>
      <w:hyperlink r:id="rId8" w:history="1">
        <w:r w:rsidRPr="003B4FE8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Личный кабинет налогоплательщика для физических лиц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>».</w:t>
      </w:r>
    </w:p>
    <w:p w:rsidR="003B4FE8" w:rsidRPr="003B4FE8" w:rsidRDefault="003B4FE8" w:rsidP="003B4F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Освобождение от уплаты транспортного налога на региональном уровне предусмотрено ст. 5 Областного закона Кировской области от 28.11.2002 № 114-ОЗ «О транспортном налоге в Кировской области».</w:t>
      </w:r>
      <w:r w:rsidRPr="003B4FE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B4FE8" w:rsidRPr="003B4FE8" w:rsidRDefault="003B4FE8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  <w:t xml:space="preserve">По земельному налогу с налогового периода 2017 года введена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землевладельцы следующих категорий: пенсионеры, лица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предпенсионного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возраста, инвалиды I и II групп, инвалиды с детства, дети - инвалиды, ветераны Великой Отечественной войны и боевых действий, Герои Советского Союза, Герои Российской Федерации и другие категории граждан, указанные в п. 5 ст. 391 Налогового кодекса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РФ</w:t>
      </w: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>.Д</w:t>
      </w:r>
      <w:proofErr w:type="gramEnd"/>
      <w:r w:rsidRPr="003B4FE8">
        <w:rPr>
          <w:rFonts w:ascii="Arial" w:hAnsi="Arial" w:cs="Arial"/>
          <w:color w:val="000000" w:themeColor="text1"/>
          <w:sz w:val="21"/>
          <w:szCs w:val="21"/>
        </w:rPr>
        <w:t>ополнительные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налоговые льготы для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физлиц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установлены нормативными правовыми актами представительных органов муниципальных образований по месту нахождения земельных участков.</w:t>
      </w:r>
    </w:p>
    <w:p w:rsidR="003B4FE8" w:rsidRPr="003B4FE8" w:rsidRDefault="003B4FE8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lastRenderedPageBreak/>
        <w:tab/>
        <w:t xml:space="preserve">По налогу на имущество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физлиц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налоговые льготы для 15 категорий налогоплательщиков предусмотрены ст. 407 Налогового кодекса РФ. Также они могут быть дополнительно установлены нормативными правовыми актами представительных органов муниципальных образований по месту нахождения налогооблагаемого имущества.</w:t>
      </w:r>
    </w:p>
    <w:p w:rsidR="003B4FE8" w:rsidRPr="003B4FE8" w:rsidRDefault="003B4FE8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Ознакомиться с перечнем налоговых льгот (налоговых вычетов) по всем имущественным налогам в конкретном регионе или муниципальном образовании можно с помощью электронного сервиса ФНС России «</w:t>
      </w:r>
      <w:hyperlink r:id="rId9" w:history="1">
        <w:r w:rsidRPr="003B4FE8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Справочная информация о ставках и льготах по имущественным налогам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>».</w:t>
      </w:r>
    </w:p>
    <w:p w:rsidR="003B4FE8" w:rsidRPr="003B4FE8" w:rsidRDefault="003B4FE8" w:rsidP="003B4FE8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Следует отметить, что представление льготы носит заявительный характер. Таким образом, лица, имеющие право на льготы, самостоятельно представляют заявления в налоговые органы, либо, воспользовавшись правом, предусмотренным </w:t>
      </w:r>
      <w:hyperlink r:id="rId10" w:history="1">
        <w:r w:rsidRPr="003B4FE8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пунктом 1 статьи 26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> Налогового кодекса РФ, через законного или уполномоченного представителя.</w:t>
      </w:r>
    </w:p>
    <w:p w:rsidR="003B4FE8" w:rsidRPr="003B4FE8" w:rsidRDefault="003B4FE8" w:rsidP="003B4FE8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D125FE" w:rsidRPr="003B4FE8" w:rsidRDefault="00BB6430" w:rsidP="00D125FE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rFonts w:ascii="Arial" w:hAnsi="Arial" w:cs="Arial"/>
          <w:color w:val="000000" w:themeColor="text1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 xml:space="preserve">Льгота по транспортному </w:t>
      </w:r>
      <w:r w:rsidR="006927CD"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 xml:space="preserve">налогу в размере платы по системе «Платон» </w:t>
      </w:r>
    </w:p>
    <w:p w:rsidR="007417F7" w:rsidRPr="003B4FE8" w:rsidRDefault="006927CD" w:rsidP="00D125FE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aps/>
          <w:color w:val="000000" w:themeColor="text1"/>
          <w:sz w:val="20"/>
          <w:szCs w:val="20"/>
        </w:rPr>
      </w:pP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 xml:space="preserve">с 2019 года не </w:t>
      </w:r>
      <w:r w:rsidR="00D125FE"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применяется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Изменения налогового законодательства, вступившие в силу с начала 2019 года, коснулись владельцев транспортных средств, имеющих разрешенную максимальную массу свыше 12 тонн.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proofErr w:type="gramStart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С 1 января 2019 года прекратили действие пункты 1. 2 статьи 361.1 Налогового кодекса РФ (в редакции Федерального закона от 03.07.2016 № 249-ФЗ), согласно которым освобождались от налогообложения по транспортному налогу физические</w:t>
      </w:r>
      <w:r w:rsidR="007417F7">
        <w:rPr>
          <w:rFonts w:ascii="Arial" w:hAnsi="Arial" w:cs="Arial"/>
          <w:color w:val="000000"/>
          <w:sz w:val="21"/>
          <w:szCs w:val="21"/>
        </w:rPr>
        <w:t xml:space="preserve">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платы, если сумма платы в счет возмещения </w:t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вреда, причиняемого</w:t>
      </w:r>
      <w:proofErr w:type="gramEnd"/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 автомобильным дорогам общего пользования федерального значения транспортными средствами, имеющими разрешенную максимальную массу свыше 12 тонн, уплаченная в налоговом периоде в отношении такого транспортного средства, превышала или была равной сумме исчисленного налога за  данный налоговый период.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Таким образом, с 2019 года налоговая льгота по данным основаниям для физических лиц отменена.</w:t>
      </w:r>
    </w:p>
    <w:p w:rsidR="007417F7" w:rsidRPr="003B4FE8" w:rsidRDefault="007417F7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 </w:t>
      </w:r>
    </w:p>
    <w:p w:rsidR="007417F7" w:rsidRPr="003B4FE8" w:rsidRDefault="00AE2DED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О невозможности удержать НДФЛ следует сообщить не позднее 1 марта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Межрайонная ИФНС России № </w:t>
      </w:r>
      <w:r w:rsidR="00685AEE" w:rsidRPr="003B4FE8">
        <w:rPr>
          <w:rFonts w:ascii="Arial" w:hAnsi="Arial" w:cs="Arial"/>
          <w:color w:val="000000" w:themeColor="text1"/>
          <w:sz w:val="21"/>
          <w:szCs w:val="21"/>
        </w:rPr>
        <w:t>5</w:t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 по </w:t>
      </w:r>
      <w:r w:rsidR="00685AEE" w:rsidRPr="003B4FE8">
        <w:rPr>
          <w:rFonts w:ascii="Arial" w:hAnsi="Arial" w:cs="Arial"/>
          <w:color w:val="000000" w:themeColor="text1"/>
          <w:sz w:val="21"/>
          <w:szCs w:val="21"/>
        </w:rPr>
        <w:t xml:space="preserve">Кировской </w:t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 xml:space="preserve"> области напоминает, что в соответствии с п. 4 ст. 226 </w:t>
      </w:r>
      <w:hyperlink r:id="rId11" w:history="1">
        <w:r w:rsidR="007417F7" w:rsidRPr="003B4FE8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Налогового кодекса РФ </w:t>
        </w:r>
      </w:hyperlink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 (далее - НК РФ) налоговые агенты обязаны удержать начисленную сумму налога на доходы физических лиц (далее - НДФЛ) непосредственно из доходов налогоплательщика при их фактической выплате.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По общему правилу удержание у налогоплательщика начисленной суммы НДФЛ производится налоговым агентом за счет любых денежных средств, выплачиваемых налоговым агентом налогоплательщику, при фактической выплате указанных денежных средств налогоплательщику либо по его поручению третьим лицам.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При невозможности удержания НДФЛ по итогам 2018 года налоговый агент обязан не позднее 1 марта 2019 года направить в налоговый орган и налогоплательщику сведения по форме 2-НДФЛ, утвержденной приказом ФНС России от 02.10.2018 № ММВ-7-11/566@..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Помимо того, по этой же форме налогоплательщикам – работодателям необходимо в срок не позднее 1 апреля 2019 года представить в налоговый орган сведения о доходах физических лиц по форме 2-НДФЛ.</w:t>
      </w:r>
    </w:p>
    <w:p w:rsidR="007417F7" w:rsidRPr="003B4FE8" w:rsidRDefault="007417F7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 </w:t>
      </w: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 </w:t>
      </w:r>
    </w:p>
    <w:p w:rsidR="007417F7" w:rsidRPr="003B4FE8" w:rsidRDefault="007417F7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С 9 января 2019 года применяются новые формы заявлений</w:t>
      </w:r>
      <w:r w:rsidR="00685AEE"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о зачете и возврате налогов</w:t>
      </w:r>
    </w:p>
    <w:p w:rsidR="007417F7" w:rsidRPr="003B4FE8" w:rsidRDefault="00AE2DED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Приказом ФНС России от 30.11.2018 № ММВ-7-8/670@ внесены изменения в формы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>В форму заявления о возврате (зачете) суммы излишне уплаченного (взысканного, подлежащего возмещению) налога (сбора, страховых взносов, пеней, штрафа) добавлены поля:</w:t>
      </w:r>
      <w:proofErr w:type="gramEnd"/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- «Статус плательщика»: 1 - налогоплательщик, 2 - плательщик сбора, 3 - плательщик страховых взносов, 4 - налоговый агент.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lastRenderedPageBreak/>
        <w:t>- «Вид счета (код)»: 01 - расчетный счет, 02 - текущий счет, 07 - счет по вкладам (депозитам), 08 - лицевой счет, 09 - корреспондентский счет, 13 - корреспондентский субсчет. 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Для упрощения заполнения форм заявлений исключено поле «Адрес места жительства (места пребывания) в Российской Федерации».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Кроме того, теперь форма сообщения налогового органа о принятом </w:t>
      </w: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>решении</w:t>
      </w:r>
      <w:proofErr w:type="gram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о зачете (возврате) сумм излишне уплаченного налога или об отказе в осуществлении зачета дополнена строкой «Причина отказа в зачете (возврате)».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Изменения, внесенные в формы документов приказом ФНС России от 30.11.2018 № ММВ-7-8/670@, вступили в силу 09 января 2019 года.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7417F7" w:rsidRPr="003B4FE8" w:rsidRDefault="007417F7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7417F7" w:rsidRPr="003B4FE8" w:rsidRDefault="00AE2DED" w:rsidP="007417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Style w:val="ab"/>
          <w:rFonts w:ascii="Arial" w:hAnsi="Arial" w:cs="Arial"/>
          <w:color w:val="000000" w:themeColor="text1"/>
          <w:sz w:val="21"/>
          <w:szCs w:val="21"/>
        </w:rPr>
        <w:t>С 2019 года упрощена оплата имущественных налогов физических лиц</w:t>
      </w:r>
    </w:p>
    <w:p w:rsidR="007417F7" w:rsidRPr="003B4FE8" w:rsidRDefault="00AE2DED" w:rsidP="00AE2DE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  <w:r w:rsidR="007417F7" w:rsidRPr="003B4FE8">
        <w:rPr>
          <w:rFonts w:ascii="Arial" w:hAnsi="Arial" w:cs="Arial"/>
          <w:color w:val="000000" w:themeColor="text1"/>
          <w:sz w:val="21"/>
          <w:szCs w:val="21"/>
        </w:rPr>
        <w:t>Федеральным законом от 29.07.2018 № 232-ФЗ часть первая Налогового кодекса Российской Федерации дополнена статьей 45.1, которая с 1 января 2019 года устанавливает понятие «единый налоговый платеж физического лица». Его введение упростит для физических лиц уплату имущественных налогов.</w:t>
      </w:r>
    </w:p>
    <w:p w:rsidR="007417F7" w:rsidRPr="003B4FE8" w:rsidRDefault="007417F7" w:rsidP="00AE2DE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Единый налоговый платеж физического лица - это денежные средства, которые гражданин добровольно перечисляет в бюджет с помощью одного платежного поручения в счет исполнения обязанности по уплате налога на имущество физических лиц, земельного и транспортного налогов. Таким образом, начиная с 1 января 2019 года, уплачивать имущественные налоги можно будет добровольно единым платежом.</w:t>
      </w:r>
    </w:p>
    <w:p w:rsidR="007417F7" w:rsidRPr="003B4FE8" w:rsidRDefault="007417F7" w:rsidP="00AE2DE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Сумма платежа будет зачислена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</w:t>
      </w:r>
    </w:p>
    <w:p w:rsidR="007417F7" w:rsidRPr="003B4FE8" w:rsidRDefault="007417F7" w:rsidP="00AE2DE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Зачет платежа налоговые органы произведут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налогам.</w:t>
      </w:r>
    </w:p>
    <w:p w:rsidR="007417F7" w:rsidRPr="003B4FE8" w:rsidRDefault="007417F7" w:rsidP="00AE2DE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О принятом </w:t>
      </w: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>решении</w:t>
      </w:r>
      <w:proofErr w:type="gram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о зачете  налогоплательщик будет проинформирован. Также все данные будут отражаться в «</w:t>
      </w:r>
      <w:hyperlink r:id="rId12" w:history="1">
        <w:r w:rsidRPr="003B4FE8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Личном кабинете налогоплательщика для физических лиц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>».</w:t>
      </w:r>
    </w:p>
    <w:p w:rsidR="007417F7" w:rsidRPr="003B4FE8" w:rsidRDefault="007417F7" w:rsidP="00AE2DE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Уплатить единый платеж сможет не только сам налогоплательщик, но и иное лицо за него. Однако последнее не вправе требовать возврата денежных средств – только сам налогоплательщик имеет на это право.</w:t>
      </w:r>
    </w:p>
    <w:p w:rsidR="007417F7" w:rsidRPr="003B4FE8" w:rsidRDefault="007417F7" w:rsidP="00685AEE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6825C3" w:rsidRPr="003B4FE8" w:rsidRDefault="006825C3" w:rsidP="006825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С апреля </w:t>
      </w:r>
      <w:r w:rsidR="00463074"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2019 </w:t>
      </w:r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>уведомление об освобождении от НДС нужно подавать на новых бланках</w:t>
      </w: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</w:p>
    <w:p w:rsidR="006825C3" w:rsidRPr="003B4FE8" w:rsidRDefault="002A7AEE" w:rsidP="00AE2DED">
      <w:pPr>
        <w:rPr>
          <w:rFonts w:ascii="Arial" w:hAnsi="Arial" w:cs="Arial"/>
          <w:color w:val="000000" w:themeColor="text1"/>
          <w:sz w:val="21"/>
          <w:szCs w:val="21"/>
        </w:rPr>
      </w:pPr>
      <w:hyperlink r:id="rId13" w:history="1">
        <w:r w:rsidR="00463074" w:rsidRPr="003B4FE8">
          <w:rPr>
            <w:rFonts w:ascii="Arial" w:hAnsi="Arial" w:cs="Arial"/>
            <w:iCs/>
            <w:color w:val="000000" w:themeColor="text1"/>
            <w:sz w:val="21"/>
            <w:szCs w:val="21"/>
          </w:rPr>
          <w:t>Приказ</w:t>
        </w:r>
      </w:hyperlink>
      <w:r w:rsidR="00463074" w:rsidRPr="003B4FE8">
        <w:rPr>
          <w:rFonts w:ascii="Arial" w:hAnsi="Arial" w:cs="Arial"/>
          <w:color w:val="000000" w:themeColor="text1"/>
          <w:sz w:val="21"/>
          <w:szCs w:val="21"/>
        </w:rPr>
        <w:t xml:space="preserve">ом </w:t>
      </w:r>
      <w:r w:rsidR="00463074" w:rsidRPr="003B4FE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463074" w:rsidRPr="003B4FE8">
        <w:rPr>
          <w:rFonts w:ascii="Arial" w:hAnsi="Arial" w:cs="Arial"/>
          <w:iCs/>
          <w:color w:val="000000" w:themeColor="text1"/>
          <w:sz w:val="21"/>
          <w:szCs w:val="21"/>
        </w:rPr>
        <w:t>Минфина России от 26.12.2018 N 286н</w:t>
      </w:r>
      <w:r w:rsidR="00463074" w:rsidRPr="003B4FE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825C3" w:rsidRPr="003B4FE8">
        <w:rPr>
          <w:rFonts w:ascii="Arial" w:hAnsi="Arial" w:cs="Arial"/>
          <w:color w:val="000000" w:themeColor="text1"/>
          <w:sz w:val="21"/>
          <w:szCs w:val="21"/>
        </w:rPr>
        <w:t xml:space="preserve"> утвер</w:t>
      </w:r>
      <w:r w:rsidR="00463074" w:rsidRPr="003B4FE8">
        <w:rPr>
          <w:rFonts w:ascii="Arial" w:hAnsi="Arial" w:cs="Arial"/>
          <w:color w:val="000000" w:themeColor="text1"/>
          <w:sz w:val="21"/>
          <w:szCs w:val="21"/>
        </w:rPr>
        <w:t xml:space="preserve">ждено </w:t>
      </w:r>
      <w:r w:rsidR="006825C3" w:rsidRPr="003B4FE8">
        <w:rPr>
          <w:rFonts w:ascii="Arial" w:hAnsi="Arial" w:cs="Arial"/>
          <w:color w:val="000000" w:themeColor="text1"/>
          <w:sz w:val="21"/>
          <w:szCs w:val="21"/>
        </w:rPr>
        <w:t xml:space="preserve"> две формы уведомления о праве на освобождение от НДС: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- одну - для тех, кто применяет ЕСХН;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>другую</w:t>
      </w:r>
      <w:proofErr w:type="gram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- для всех остальных.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Отличия от форм, которыми организации и ИП пользуются сейчас, минимальны. Тем не </w:t>
      </w: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>менее</w:t>
      </w:r>
      <w:proofErr w:type="gramEnd"/>
      <w:r w:rsidR="00463074" w:rsidRPr="003B4FE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с апреля пользоваться нужно только новыми формами.</w:t>
      </w:r>
    </w:p>
    <w:p w:rsidR="006825C3" w:rsidRPr="003B4FE8" w:rsidRDefault="006825C3" w:rsidP="00AE2DED">
      <w:pPr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6825C3" w:rsidRPr="003B4FE8" w:rsidRDefault="006825C3" w:rsidP="006825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>За I квартал</w:t>
      </w:r>
      <w:r w:rsidR="00463074"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2019 </w:t>
      </w:r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нужно отчитаться по новой форме</w:t>
      </w:r>
      <w:r w:rsidR="00463074"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по НДС </w:t>
      </w: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463074" w:rsidP="00463074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  <w:t>С</w:t>
      </w:r>
      <w:r w:rsidR="006825C3" w:rsidRPr="003B4FE8">
        <w:rPr>
          <w:rFonts w:ascii="Arial" w:hAnsi="Arial" w:cs="Arial"/>
          <w:color w:val="000000" w:themeColor="text1"/>
          <w:sz w:val="21"/>
          <w:szCs w:val="21"/>
        </w:rPr>
        <w:t>корректирова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н </w:t>
      </w:r>
      <w:r w:rsidR="006825C3" w:rsidRPr="003B4FE8">
        <w:rPr>
          <w:rFonts w:ascii="Arial" w:hAnsi="Arial" w:cs="Arial"/>
          <w:color w:val="000000" w:themeColor="text1"/>
          <w:sz w:val="21"/>
          <w:szCs w:val="21"/>
        </w:rPr>
        <w:t xml:space="preserve"> бланк декларации по НДС, порядок ее заполнения и формат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hyperlink r:id="rId14" w:history="1">
        <w:r w:rsidRPr="003B4FE8">
          <w:rPr>
            <w:rFonts w:ascii="Arial" w:hAnsi="Arial" w:cs="Arial"/>
            <w:iCs/>
            <w:color w:val="000000" w:themeColor="text1"/>
            <w:sz w:val="21"/>
            <w:szCs w:val="21"/>
          </w:rPr>
          <w:t>Приказ</w:t>
        </w:r>
      </w:hyperlink>
      <w:r w:rsidRPr="003B4FE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3B4FE8">
        <w:rPr>
          <w:rFonts w:ascii="Arial" w:hAnsi="Arial" w:cs="Arial"/>
          <w:iCs/>
          <w:color w:val="000000" w:themeColor="text1"/>
          <w:sz w:val="21"/>
          <w:szCs w:val="21"/>
        </w:rPr>
        <w:t xml:space="preserve">ФНС России от </w:t>
      </w:r>
      <w:r w:rsidRPr="003B4FE8">
        <w:rPr>
          <w:rFonts w:ascii="Arial" w:hAnsi="Arial" w:cs="Arial"/>
          <w:i/>
          <w:iCs/>
          <w:color w:val="000000" w:themeColor="text1"/>
          <w:sz w:val="21"/>
          <w:szCs w:val="21"/>
        </w:rPr>
        <w:t>28.12.2018 N СА-7-3/853@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>)</w:t>
      </w:r>
      <w:r w:rsidR="006825C3" w:rsidRPr="003B4FE8">
        <w:rPr>
          <w:rFonts w:ascii="Arial" w:hAnsi="Arial" w:cs="Arial"/>
          <w:color w:val="000000" w:themeColor="text1"/>
          <w:sz w:val="21"/>
          <w:szCs w:val="21"/>
        </w:rPr>
        <w:t xml:space="preserve">. Поправки 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внесены </w:t>
      </w:r>
      <w:r w:rsidR="006825C3" w:rsidRPr="003B4FE8">
        <w:rPr>
          <w:rFonts w:ascii="Arial" w:hAnsi="Arial" w:cs="Arial"/>
          <w:color w:val="000000" w:themeColor="text1"/>
          <w:sz w:val="21"/>
          <w:szCs w:val="21"/>
        </w:rPr>
        <w:t>в связи с изменением законодательства, в том числе из-за повышения ставки налога.</w:t>
      </w:r>
    </w:p>
    <w:p w:rsidR="00463074" w:rsidRPr="003B4FE8" w:rsidRDefault="00463074" w:rsidP="00463074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6825C3" w:rsidP="006825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Расчет по налогу на имущество за I квартал </w:t>
      </w:r>
      <w:r w:rsidR="00463074"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2019 </w:t>
      </w:r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>составляйте по новой форме</w:t>
      </w: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463074" w:rsidRPr="003B4FE8" w:rsidRDefault="006825C3" w:rsidP="004630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В </w:t>
      </w:r>
      <w:hyperlink r:id="rId15" w:history="1"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>расчете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нужно отразить только недвижимость: с остальных основных средств налог на имущество больше не взимается. Есть и другие изменения.</w:t>
      </w:r>
      <w:r w:rsidR="00463074" w:rsidRPr="003B4FE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16" w:history="1">
        <w:r w:rsidR="00463074" w:rsidRPr="003B4FE8">
          <w:rPr>
            <w:rFonts w:ascii="Arial" w:hAnsi="Arial" w:cs="Arial"/>
            <w:bCs/>
            <w:iCs/>
            <w:color w:val="000000" w:themeColor="text1"/>
            <w:sz w:val="20"/>
            <w:szCs w:val="20"/>
          </w:rPr>
          <w:t>Приказ</w:t>
        </w:r>
      </w:hyperlink>
      <w:r w:rsidR="00463074" w:rsidRPr="003B4FE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ФНС России от 04.10.2018 N ММВ-7-21/575@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7417F7" w:rsidRPr="003B4FE8" w:rsidRDefault="007417F7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463074" w:rsidRPr="003B4FE8" w:rsidRDefault="00463074" w:rsidP="0046307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3B4FE8">
        <w:rPr>
          <w:rFonts w:ascii="Arial" w:hAnsi="Arial" w:cs="Arial"/>
          <w:b/>
          <w:bCs/>
          <w:color w:val="000000" w:themeColor="text1"/>
          <w:sz w:val="20"/>
          <w:szCs w:val="20"/>
        </w:rPr>
        <w:t>Для ИП без работников выросли взносы на пенсионное и медицинское страхование</w:t>
      </w: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463074" w:rsidRPr="003B4FE8" w:rsidRDefault="00463074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На ОМС в 2019 году нужно перечислить </w:t>
      </w:r>
      <w:hyperlink r:id="rId17" w:history="1"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>6 884 руб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. вместо </w:t>
      </w: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>прежних</w:t>
      </w:r>
      <w:proofErr w:type="gram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5 840 руб.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Взносы на пенсионное страхование зависят от суммы годового дохода: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- не более 300 тыс. руб. - платеж </w:t>
      </w:r>
      <w:hyperlink r:id="rId18" w:history="1"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>29 354 руб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>.;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- больше 300 тыс. руб. - платеж составляет </w:t>
      </w:r>
      <w:hyperlink r:id="rId19" w:history="1"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>29 354 руб. + 1%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от суммы дохода, превышающего 300 тыс. руб., но не более 234 832 руб.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"Больничные" взносы ИП перечислять по-прежнему </w:t>
      </w:r>
      <w:hyperlink r:id="rId20" w:history="1"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 xml:space="preserve">не </w:t>
        </w:r>
        <w:proofErr w:type="gramStart"/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>обязан</w:t>
        </w:r>
        <w:proofErr w:type="gramEnd"/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6825C3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6825C3" w:rsidP="00AE2DED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b/>
          <w:color w:val="000000" w:themeColor="text1"/>
          <w:sz w:val="21"/>
          <w:szCs w:val="21"/>
        </w:rPr>
        <w:t xml:space="preserve">Заполнение платежек: с 4 февраля  </w:t>
      </w:r>
      <w:proofErr w:type="gramStart"/>
      <w:r w:rsidRPr="003B4FE8">
        <w:rPr>
          <w:rFonts w:ascii="Arial" w:hAnsi="Arial" w:cs="Arial"/>
          <w:b/>
          <w:color w:val="000000" w:themeColor="text1"/>
          <w:sz w:val="21"/>
          <w:szCs w:val="21"/>
        </w:rPr>
        <w:t>изменен</w:t>
      </w:r>
      <w:proofErr w:type="gramEnd"/>
      <w:r w:rsidRPr="003B4FE8">
        <w:rPr>
          <w:rFonts w:ascii="Arial" w:hAnsi="Arial" w:cs="Arial"/>
          <w:b/>
          <w:color w:val="000000" w:themeColor="text1"/>
          <w:sz w:val="21"/>
          <w:szCs w:val="21"/>
        </w:rPr>
        <w:t xml:space="preserve"> счета УФК</w:t>
      </w:r>
    </w:p>
    <w:p w:rsidR="00463074" w:rsidRPr="003B4FE8" w:rsidRDefault="00463074" w:rsidP="00AE2DED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63074" w:rsidRPr="003B4FE8" w:rsidRDefault="006825C3" w:rsidP="00AE2DED">
      <w:pPr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Для применения </w:t>
      </w:r>
      <w:hyperlink r:id="rId21" w:history="1"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>нов</w:t>
        </w:r>
        <w:r w:rsidR="00463074" w:rsidRPr="003B4FE8">
          <w:rPr>
            <w:rFonts w:ascii="Arial" w:hAnsi="Arial" w:cs="Arial"/>
            <w:color w:val="000000" w:themeColor="text1"/>
            <w:sz w:val="21"/>
            <w:szCs w:val="21"/>
          </w:rPr>
          <w:t xml:space="preserve">ого </w:t>
        </w:r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 xml:space="preserve"> счет</w:t>
        </w:r>
        <w:r w:rsidR="00463074" w:rsidRPr="003B4FE8">
          <w:rPr>
            <w:rFonts w:ascii="Arial" w:hAnsi="Arial" w:cs="Arial"/>
            <w:color w:val="000000" w:themeColor="text1"/>
            <w:sz w:val="21"/>
            <w:szCs w:val="21"/>
          </w:rPr>
          <w:t>а</w:t>
        </w:r>
      </w:hyperlink>
      <w:r w:rsidR="00463074" w:rsidRPr="003B4FE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УФК есть переходный период. До 29 апреля включительно в </w:t>
      </w:r>
      <w:hyperlink r:id="rId22" w:history="1">
        <w:r w:rsidRPr="003B4FE8">
          <w:rPr>
            <w:rFonts w:ascii="Arial" w:hAnsi="Arial" w:cs="Arial"/>
            <w:color w:val="000000" w:themeColor="text1"/>
            <w:sz w:val="21"/>
            <w:szCs w:val="21"/>
          </w:rPr>
          <w:t>платежке</w:t>
        </w:r>
      </w:hyperlink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можно указать старый счет - оплата все равно пройдет. А вот с 30 апреля обязателен новый</w:t>
      </w:r>
      <w:proofErr w:type="gramStart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63074" w:rsidRPr="003B4FE8">
        <w:rPr>
          <w:rFonts w:ascii="Arial" w:hAnsi="Arial" w:cs="Arial"/>
          <w:color w:val="000000" w:themeColor="text1"/>
          <w:sz w:val="21"/>
          <w:szCs w:val="21"/>
        </w:rPr>
        <w:t>.</w:t>
      </w:r>
      <w:proofErr w:type="gramEnd"/>
      <w:r w:rsidR="00463074" w:rsidRPr="003B4FE8">
        <w:rPr>
          <w:rFonts w:ascii="Arial" w:hAnsi="Arial" w:cs="Arial"/>
          <w:color w:val="000000" w:themeColor="text1"/>
          <w:sz w:val="21"/>
          <w:szCs w:val="21"/>
        </w:rPr>
        <w:t>В поле «17» расчетного документа  с 04.02.2019 указывается новый счет –</w:t>
      </w:r>
    </w:p>
    <w:p w:rsidR="006825C3" w:rsidRPr="003B4FE8" w:rsidRDefault="00463074" w:rsidP="00AE2DED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b/>
          <w:color w:val="000000" w:themeColor="text1"/>
          <w:sz w:val="21"/>
          <w:szCs w:val="21"/>
        </w:rPr>
        <w:t>40 101 810 2 22020011001.</w:t>
      </w:r>
    </w:p>
    <w:p w:rsidR="007417F7" w:rsidRPr="003B4FE8" w:rsidRDefault="007417F7" w:rsidP="00AE2DED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6825C3" w:rsidP="006825C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В четырех регионах проходит эксперимент по </w:t>
      </w:r>
      <w:proofErr w:type="spellStart"/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>спецрежиму</w:t>
      </w:r>
      <w:proofErr w:type="spellEnd"/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для </w:t>
      </w:r>
      <w:proofErr w:type="spellStart"/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>самозанятых</w:t>
      </w:r>
      <w:proofErr w:type="spellEnd"/>
      <w:r w:rsidRPr="003B4FE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граждан</w:t>
      </w:r>
    </w:p>
    <w:p w:rsidR="003B4FE8" w:rsidRPr="003B4FE8" w:rsidRDefault="00463074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ab/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С 1 января 2019 года по 31 декабря 2028 года в Москве, Московской, Калужской областях и Татарстане проходит эксперимент по "выводу из тени"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самозанятых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3B4FE8">
        <w:rPr>
          <w:rFonts w:ascii="Arial" w:hAnsi="Arial" w:cs="Arial"/>
          <w:color w:val="000000" w:themeColor="text1"/>
          <w:sz w:val="21"/>
          <w:szCs w:val="21"/>
        </w:rPr>
        <w:t>Н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овый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спецрежим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B4FE8">
        <w:rPr>
          <w:rFonts w:ascii="Arial" w:hAnsi="Arial" w:cs="Arial"/>
          <w:color w:val="000000" w:themeColor="text1"/>
          <w:sz w:val="21"/>
          <w:szCs w:val="21"/>
        </w:rPr>
        <w:t xml:space="preserve">называется </w:t>
      </w:r>
      <w:r w:rsidRPr="003B4FE8">
        <w:rPr>
          <w:rFonts w:ascii="Arial" w:hAnsi="Arial" w:cs="Arial"/>
          <w:color w:val="000000" w:themeColor="text1"/>
          <w:sz w:val="21"/>
          <w:szCs w:val="21"/>
        </w:rPr>
        <w:t>- налог на профессиональный доход.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После перехода на этот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спецрежим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можно не платить: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- НДФЛ с доходов, которые облагаются налогом на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профдоход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- НДС (кроме "ввозного");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- страховые взносы (их можно перечислять добровольно).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>Вместо таких платежей нужно вносить в бюджет: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- 4% с дохода, полученного от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физлиц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- 6% с дохода, полученного от ИП и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юрлиц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6825C3" w:rsidRPr="003B4FE8" w:rsidRDefault="006825C3" w:rsidP="00AE2DE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Ответы по налогу на 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профдоход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 xml:space="preserve"> можно найти с помощью сервиса "Часто задаваемые вопросы" на сайте ФНС (тематика "</w:t>
      </w:r>
      <w:proofErr w:type="spellStart"/>
      <w:r w:rsidRPr="003B4FE8">
        <w:rPr>
          <w:rFonts w:ascii="Arial" w:hAnsi="Arial" w:cs="Arial"/>
          <w:color w:val="000000" w:themeColor="text1"/>
          <w:sz w:val="21"/>
          <w:szCs w:val="21"/>
        </w:rPr>
        <w:t>Самозанятые</w:t>
      </w:r>
      <w:proofErr w:type="spellEnd"/>
      <w:r w:rsidRPr="003B4FE8">
        <w:rPr>
          <w:rFonts w:ascii="Arial" w:hAnsi="Arial" w:cs="Arial"/>
          <w:color w:val="000000" w:themeColor="text1"/>
          <w:sz w:val="21"/>
          <w:szCs w:val="21"/>
        </w:rPr>
        <w:t>").</w:t>
      </w:r>
    </w:p>
    <w:p w:rsidR="006825C3" w:rsidRPr="003B4FE8" w:rsidRDefault="006825C3" w:rsidP="006825C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6825C3" w:rsidRPr="003B4FE8" w:rsidRDefault="006825C3" w:rsidP="003B4FE8">
      <w:pPr>
        <w:rPr>
          <w:rFonts w:ascii="Arial" w:hAnsi="Arial" w:cs="Arial"/>
          <w:sz w:val="22"/>
          <w:szCs w:val="22"/>
        </w:rPr>
      </w:pPr>
      <w:r w:rsidRPr="003B4FE8">
        <w:rPr>
          <w:rFonts w:ascii="Arial" w:hAnsi="Arial" w:cs="Arial"/>
          <w:sz w:val="22"/>
          <w:szCs w:val="22"/>
        </w:rPr>
        <w:t xml:space="preserve">Начальник, советник </w:t>
      </w:r>
    </w:p>
    <w:p w:rsidR="006825C3" w:rsidRPr="003B4FE8" w:rsidRDefault="006825C3" w:rsidP="003B4FE8">
      <w:pPr>
        <w:rPr>
          <w:rFonts w:ascii="Arial" w:hAnsi="Arial" w:cs="Arial"/>
          <w:sz w:val="22"/>
          <w:szCs w:val="22"/>
        </w:rPr>
      </w:pPr>
      <w:r w:rsidRPr="003B4FE8">
        <w:rPr>
          <w:rFonts w:ascii="Arial" w:hAnsi="Arial" w:cs="Arial"/>
          <w:sz w:val="22"/>
          <w:szCs w:val="22"/>
        </w:rPr>
        <w:t>государственной гражданской службы Российской Федерации  1 класса                 Л.Г.Зайцева</w:t>
      </w:r>
    </w:p>
    <w:p w:rsidR="006825C3" w:rsidRDefault="006825C3" w:rsidP="003B4FE8">
      <w:pPr>
        <w:rPr>
          <w:rFonts w:ascii="Arial" w:hAnsi="Arial" w:cs="Arial"/>
          <w:sz w:val="22"/>
          <w:szCs w:val="22"/>
        </w:rPr>
      </w:pPr>
    </w:p>
    <w:p w:rsidR="003B4FE8" w:rsidRDefault="003B4FE8" w:rsidP="003B4FE8">
      <w:pPr>
        <w:rPr>
          <w:rFonts w:ascii="Arial" w:hAnsi="Arial" w:cs="Arial"/>
          <w:sz w:val="22"/>
          <w:szCs w:val="22"/>
        </w:rPr>
      </w:pPr>
    </w:p>
    <w:p w:rsidR="003B4FE8" w:rsidRPr="003B4FE8" w:rsidRDefault="003B4FE8" w:rsidP="003B4FE8">
      <w:pPr>
        <w:rPr>
          <w:rFonts w:ascii="Arial" w:hAnsi="Arial" w:cs="Arial"/>
          <w:sz w:val="22"/>
          <w:szCs w:val="22"/>
        </w:rPr>
      </w:pPr>
    </w:p>
    <w:p w:rsidR="006825C3" w:rsidRPr="003B4FE8" w:rsidRDefault="006825C3" w:rsidP="003B4FE8">
      <w:pPr>
        <w:rPr>
          <w:rFonts w:ascii="Arial" w:hAnsi="Arial" w:cs="Arial"/>
          <w:sz w:val="20"/>
          <w:szCs w:val="20"/>
        </w:rPr>
      </w:pPr>
      <w:r w:rsidRPr="003B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4FE8">
        <w:rPr>
          <w:rFonts w:ascii="Arial" w:hAnsi="Arial" w:cs="Arial"/>
          <w:sz w:val="20"/>
          <w:szCs w:val="20"/>
        </w:rPr>
        <w:t>Кислицына</w:t>
      </w:r>
      <w:proofErr w:type="spellEnd"/>
      <w:r w:rsidRPr="003B4FE8">
        <w:rPr>
          <w:rFonts w:ascii="Arial" w:hAnsi="Arial" w:cs="Arial"/>
          <w:sz w:val="20"/>
          <w:szCs w:val="20"/>
        </w:rPr>
        <w:t xml:space="preserve"> Светлана Викторовна </w:t>
      </w:r>
    </w:p>
    <w:p w:rsidR="006825C3" w:rsidRPr="003B4FE8" w:rsidRDefault="006825C3" w:rsidP="003B4FE8">
      <w:pPr>
        <w:rPr>
          <w:rFonts w:ascii="Arial" w:hAnsi="Arial" w:cs="Arial"/>
          <w:sz w:val="20"/>
          <w:szCs w:val="20"/>
        </w:rPr>
      </w:pPr>
      <w:r w:rsidRPr="003B4FE8">
        <w:rPr>
          <w:rFonts w:ascii="Arial" w:hAnsi="Arial" w:cs="Arial"/>
          <w:sz w:val="20"/>
          <w:szCs w:val="20"/>
        </w:rPr>
        <w:t>(83367)2-20-98</w:t>
      </w:r>
    </w:p>
    <w:p w:rsidR="006825C3" w:rsidRPr="003B4FE8" w:rsidRDefault="006825C3" w:rsidP="003B4FE8">
      <w:pPr>
        <w:rPr>
          <w:rFonts w:ascii="Arial" w:hAnsi="Arial" w:cs="Arial"/>
          <w:sz w:val="20"/>
          <w:szCs w:val="20"/>
        </w:rPr>
      </w:pPr>
      <w:r w:rsidRPr="003B4FE8">
        <w:rPr>
          <w:rFonts w:ascii="Arial" w:hAnsi="Arial" w:cs="Arial"/>
          <w:sz w:val="20"/>
          <w:szCs w:val="20"/>
        </w:rPr>
        <w:t>26.02.2019</w:t>
      </w:r>
    </w:p>
    <w:p w:rsidR="007417F7" w:rsidRDefault="007417F7" w:rsidP="00CF5681">
      <w:pPr>
        <w:shd w:val="clear" w:color="auto" w:fill="FFFFFF"/>
        <w:spacing w:before="100" w:beforeAutospacing="1" w:after="100" w:afterAutospacing="1" w:line="360" w:lineRule="atLeast"/>
        <w:rPr>
          <w:rFonts w:ascii="Helvetica" w:hAnsi="Helvetica"/>
          <w:color w:val="000000"/>
        </w:rPr>
      </w:pPr>
    </w:p>
    <w:sectPr w:rsidR="007417F7" w:rsidSect="006825C3">
      <w:pgSz w:w="11906" w:h="16838"/>
      <w:pgMar w:top="340" w:right="99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F896E"/>
    <w:multiLevelType w:val="hybridMultilevel"/>
    <w:tmpl w:val="68DAEC3E"/>
    <w:lvl w:ilvl="0" w:tplc="9834859E">
      <w:start w:val="1"/>
      <w:numFmt w:val="decimal"/>
      <w:lvlText w:val="%1."/>
      <w:lvlJc w:val="left"/>
      <w:rPr>
        <w:rFonts w:ascii="Times-New-Roman" w:eastAsia="Times New Roman" w:hAnsi="Times-New-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9F6C7A"/>
    <w:multiLevelType w:val="hybridMultilevel"/>
    <w:tmpl w:val="D2FA7E56"/>
    <w:lvl w:ilvl="0" w:tplc="29F042D8">
      <w:start w:val="1"/>
      <w:numFmt w:val="decimal"/>
      <w:lvlText w:val="%1."/>
      <w:lvlJc w:val="left"/>
      <w:rPr>
        <w:rFonts w:ascii="Times-New-Roman" w:eastAsia="Times New Roman" w:hAnsi="Times-New-Roman"/>
      </w:rPr>
    </w:lvl>
    <w:lvl w:ilvl="1" w:tplc="EBF251F2">
      <w:start w:val="1"/>
      <w:numFmt w:val="decimal"/>
      <w:lvlText w:null="1"/>
      <w:lvlJc w:val="left"/>
    </w:lvl>
    <w:lvl w:ilvl="2" w:tplc="374A94BC">
      <w:numFmt w:val="none"/>
      <w:lvlText w:val=""/>
      <w:lvlJc w:val="left"/>
      <w:pPr>
        <w:tabs>
          <w:tab w:val="num" w:pos="360"/>
        </w:tabs>
      </w:pPr>
    </w:lvl>
    <w:lvl w:ilvl="3" w:tplc="88EE8942">
      <w:numFmt w:val="decimal"/>
      <w:lvlText w:val=""/>
      <w:lvlJc w:val="left"/>
    </w:lvl>
    <w:lvl w:ilvl="4" w:tplc="114ABE56">
      <w:numFmt w:val="decimal"/>
      <w:lvlText w:val=""/>
      <w:lvlJc w:val="left"/>
    </w:lvl>
    <w:lvl w:ilvl="5" w:tplc="9A566A50">
      <w:numFmt w:val="decimal"/>
      <w:lvlText w:val=""/>
      <w:lvlJc w:val="left"/>
    </w:lvl>
    <w:lvl w:ilvl="6" w:tplc="1F323C94">
      <w:numFmt w:val="decimal"/>
      <w:lvlText w:val=""/>
      <w:lvlJc w:val="left"/>
    </w:lvl>
    <w:lvl w:ilvl="7" w:tplc="70B418F0">
      <w:numFmt w:val="decimal"/>
      <w:lvlText w:val=""/>
      <w:lvlJc w:val="left"/>
    </w:lvl>
    <w:lvl w:ilvl="8" w:tplc="34B8F664">
      <w:numFmt w:val="decimal"/>
      <w:lvlText w:val=""/>
      <w:lvlJc w:val="left"/>
    </w:lvl>
  </w:abstractNum>
  <w:abstractNum w:abstractNumId="2">
    <w:nsid w:val="11092B75"/>
    <w:multiLevelType w:val="hybridMultilevel"/>
    <w:tmpl w:val="98568ACC"/>
    <w:lvl w:ilvl="0" w:tplc="3BE6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403AD"/>
    <w:multiLevelType w:val="multilevel"/>
    <w:tmpl w:val="54222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87130"/>
    <w:multiLevelType w:val="multilevel"/>
    <w:tmpl w:val="225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6343"/>
    <w:multiLevelType w:val="hybridMultilevel"/>
    <w:tmpl w:val="8CD0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4852"/>
    <w:multiLevelType w:val="hybridMultilevel"/>
    <w:tmpl w:val="7C9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0429"/>
    <w:multiLevelType w:val="multilevel"/>
    <w:tmpl w:val="AF3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A4C8C"/>
    <w:multiLevelType w:val="hybridMultilevel"/>
    <w:tmpl w:val="B0309C9A"/>
    <w:lvl w:ilvl="0" w:tplc="F5E872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F9763C"/>
    <w:multiLevelType w:val="multilevel"/>
    <w:tmpl w:val="432C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20332"/>
    <w:multiLevelType w:val="multilevel"/>
    <w:tmpl w:val="931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982149"/>
    <w:rsid w:val="00055574"/>
    <w:rsid w:val="00057C9C"/>
    <w:rsid w:val="00061E57"/>
    <w:rsid w:val="00071196"/>
    <w:rsid w:val="00073CC7"/>
    <w:rsid w:val="000904BE"/>
    <w:rsid w:val="00095F96"/>
    <w:rsid w:val="0010755B"/>
    <w:rsid w:val="00117569"/>
    <w:rsid w:val="001A4C60"/>
    <w:rsid w:val="001B3E00"/>
    <w:rsid w:val="001B66A3"/>
    <w:rsid w:val="001D5B68"/>
    <w:rsid w:val="00203D12"/>
    <w:rsid w:val="00221742"/>
    <w:rsid w:val="00233E8E"/>
    <w:rsid w:val="00266994"/>
    <w:rsid w:val="002937CC"/>
    <w:rsid w:val="002A7AEE"/>
    <w:rsid w:val="00377BC4"/>
    <w:rsid w:val="003840CF"/>
    <w:rsid w:val="003B4FE8"/>
    <w:rsid w:val="003C5CD8"/>
    <w:rsid w:val="003D0C8D"/>
    <w:rsid w:val="00423966"/>
    <w:rsid w:val="00456852"/>
    <w:rsid w:val="00463074"/>
    <w:rsid w:val="004A15F7"/>
    <w:rsid w:val="004B1596"/>
    <w:rsid w:val="004C6CD3"/>
    <w:rsid w:val="004E1FB8"/>
    <w:rsid w:val="004F738A"/>
    <w:rsid w:val="00524665"/>
    <w:rsid w:val="005448A7"/>
    <w:rsid w:val="006236EB"/>
    <w:rsid w:val="0064793E"/>
    <w:rsid w:val="00661C26"/>
    <w:rsid w:val="006825C3"/>
    <w:rsid w:val="00685AEE"/>
    <w:rsid w:val="006927CD"/>
    <w:rsid w:val="006C043C"/>
    <w:rsid w:val="006C1BB3"/>
    <w:rsid w:val="00730CA8"/>
    <w:rsid w:val="007417F7"/>
    <w:rsid w:val="00767860"/>
    <w:rsid w:val="00785574"/>
    <w:rsid w:val="008514BD"/>
    <w:rsid w:val="00873D88"/>
    <w:rsid w:val="008874E4"/>
    <w:rsid w:val="008D417A"/>
    <w:rsid w:val="00910DEF"/>
    <w:rsid w:val="009145EE"/>
    <w:rsid w:val="00920FCE"/>
    <w:rsid w:val="00936705"/>
    <w:rsid w:val="009567B8"/>
    <w:rsid w:val="00972983"/>
    <w:rsid w:val="00982149"/>
    <w:rsid w:val="0098248E"/>
    <w:rsid w:val="009972FA"/>
    <w:rsid w:val="009A1191"/>
    <w:rsid w:val="00A05835"/>
    <w:rsid w:val="00A1480E"/>
    <w:rsid w:val="00A3222E"/>
    <w:rsid w:val="00A42930"/>
    <w:rsid w:val="00A531AE"/>
    <w:rsid w:val="00A703BB"/>
    <w:rsid w:val="00A94462"/>
    <w:rsid w:val="00AC1273"/>
    <w:rsid w:val="00AD5FAB"/>
    <w:rsid w:val="00AE2DED"/>
    <w:rsid w:val="00B04C5B"/>
    <w:rsid w:val="00B112D0"/>
    <w:rsid w:val="00B22BA4"/>
    <w:rsid w:val="00B95E50"/>
    <w:rsid w:val="00BB6430"/>
    <w:rsid w:val="00BC3DCF"/>
    <w:rsid w:val="00C20B14"/>
    <w:rsid w:val="00C404E7"/>
    <w:rsid w:val="00C4317C"/>
    <w:rsid w:val="00C716C1"/>
    <w:rsid w:val="00C76794"/>
    <w:rsid w:val="00CF5681"/>
    <w:rsid w:val="00D125FE"/>
    <w:rsid w:val="00D172B8"/>
    <w:rsid w:val="00D47AD2"/>
    <w:rsid w:val="00D6273B"/>
    <w:rsid w:val="00D72CD8"/>
    <w:rsid w:val="00DA2BFF"/>
    <w:rsid w:val="00DA563C"/>
    <w:rsid w:val="00DC1216"/>
    <w:rsid w:val="00DC4897"/>
    <w:rsid w:val="00DF0C63"/>
    <w:rsid w:val="00DF573C"/>
    <w:rsid w:val="00E001D0"/>
    <w:rsid w:val="00E10D8B"/>
    <w:rsid w:val="00E2075D"/>
    <w:rsid w:val="00E319F0"/>
    <w:rsid w:val="00EB0653"/>
    <w:rsid w:val="00EE446E"/>
    <w:rsid w:val="00EF0E45"/>
    <w:rsid w:val="00EF1E21"/>
    <w:rsid w:val="00EF6349"/>
    <w:rsid w:val="00F1285D"/>
    <w:rsid w:val="00FA1B19"/>
    <w:rsid w:val="00FF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17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95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3CC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073CC7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1A4C60"/>
    <w:rPr>
      <w:color w:val="0000FF"/>
      <w:u w:val="single"/>
    </w:rPr>
  </w:style>
  <w:style w:type="paragraph" w:customStyle="1" w:styleId="Default">
    <w:name w:val="Default"/>
    <w:rsid w:val="004F738A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4793E"/>
    <w:pPr>
      <w:spacing w:line="276" w:lineRule="atLeast"/>
    </w:pPr>
    <w:rPr>
      <w:color w:val="auto"/>
    </w:rPr>
  </w:style>
  <w:style w:type="paragraph" w:styleId="a7">
    <w:name w:val="List Paragraph"/>
    <w:basedOn w:val="a"/>
    <w:uiPriority w:val="34"/>
    <w:qFormat/>
    <w:rsid w:val="001B3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B3E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B3E0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417F7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7417F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417F7"/>
    <w:rPr>
      <w:b/>
      <w:bCs/>
    </w:rPr>
  </w:style>
  <w:style w:type="paragraph" w:styleId="ac">
    <w:name w:val="Balloon Text"/>
    <w:basedOn w:val="a"/>
    <w:link w:val="ad"/>
    <w:semiHidden/>
    <w:unhideWhenUsed/>
    <w:rsid w:val="00D47A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47AD2"/>
    <w:rPr>
      <w:rFonts w:ascii="Tahoma" w:hAnsi="Tahoma" w:cs="Tahoma"/>
      <w:sz w:val="16"/>
      <w:szCs w:val="16"/>
    </w:rPr>
  </w:style>
  <w:style w:type="character" w:customStyle="1" w:styleId="top-widgetsitemtext">
    <w:name w:val="top-widgets_item_text"/>
    <w:basedOn w:val="a0"/>
    <w:rsid w:val="00B22BA4"/>
  </w:style>
  <w:style w:type="character" w:customStyle="1" w:styleId="20">
    <w:name w:val="Заголовок 2 Знак"/>
    <w:basedOn w:val="a0"/>
    <w:link w:val="2"/>
    <w:semiHidden/>
    <w:rsid w:val="000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6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0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1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6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hyperlink" Target="consultantplus://offline/ref=CD7887E998FBB42D35C758E503B8CF8D9A55028834BD990DD576AC2BF5AB0CBCCD87999BF661A3154BEFF75944pFNEF" TargetMode="External"/><Relationship Id="rId18" Type="http://schemas.openxmlformats.org/officeDocument/2006/relationships/hyperlink" Target="consultantplus://offline/ref=838F91B6445C383068C9E19C951A905B05DECBB104DB6E11CC7160FBE76FC3C24101FFE4E0ED74C348DD5D50D814AA1663E4B7617C1965RAR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EEC146A67D8B9C21538851282B5C85E17915E38F2557E3DDC634B276F6FFD68F886DD53549566BA8A192C127904046AA12007DA81D75D2G1S0F" TargetMode="External"/><Relationship Id="rId7" Type="http://schemas.openxmlformats.org/officeDocument/2006/relationships/hyperlink" Target="https://lkfl2.nalog.ru/lkfl/login" TargetMode="External"/><Relationship Id="rId12" Type="http://schemas.openxmlformats.org/officeDocument/2006/relationships/hyperlink" Target="https://lkfl2.nalog.ru/lkfl/" TargetMode="External"/><Relationship Id="rId17" Type="http://schemas.openxmlformats.org/officeDocument/2006/relationships/hyperlink" Target="consultantplus://offline/ref=838F91B6445C383068C9E19C951A905B05DECBB104DB6E11CC7160FBE76FC3C24101FFE4E0ED75C848DD5D50D814AA1663E4B7617C1965RAR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5487DCE952D4F89C67892E07A1DC4E0952E91B027E322C566C3B9AC16479E2C6A77C3B61CC6EAEFCF6B769B4905531DC17E28230201E4r6j0F" TargetMode="External"/><Relationship Id="rId20" Type="http://schemas.openxmlformats.org/officeDocument/2006/relationships/hyperlink" Target="consultantplus://offline/ref=838F91B6445C383068C9E19C951A905B05DECBB104DB6E11CC7160FBE76FC3C24101FFE4E6E97FCF48DD5D50D814AA1663E4B7617C1965RAR1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24/program/5961249/" TargetMode="External"/><Relationship Id="rId11" Type="http://schemas.openxmlformats.org/officeDocument/2006/relationships/hyperlink" Target="http://nalog.garant.ru/fns/n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0E48F2E16D6DA3630188599495D8154AB60BC776B6AE1A20B6D1F7454AFA74A8DDD0C841B48590B31EED55AFBAF178E7D843D3487E92FL6Q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E3A12D726200BA17F4004DCBACC977C59F4860EC624725FD6AD80661D267FB8F223B65059D642AEE16N" TargetMode="External"/><Relationship Id="rId19" Type="http://schemas.openxmlformats.org/officeDocument/2006/relationships/hyperlink" Target="consultantplus://offline/ref=838F91B6445C383068C9E19C951A905B05DECBB104DB6E11CC7160FBE76FC3C24101FFE4E0ED75CA48DD5D50D814AA1663E4B7617C1965RAR1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30/service/tax/" TargetMode="External"/><Relationship Id="rId14" Type="http://schemas.openxmlformats.org/officeDocument/2006/relationships/hyperlink" Target="consultantplus://offline/ref=5E6A277A8663DE1871AD57F901603A370B2312E15247AEB3FBE5328B36667D3260A6D82725A83D1A86DDC2FD39VBO6F" TargetMode="External"/><Relationship Id="rId22" Type="http://schemas.openxmlformats.org/officeDocument/2006/relationships/hyperlink" Target="consultantplus://offline/ref=4AEEC146A67D8B9C21538851282B5C85E17915E48E2157E3DDC634B276F6FFD68F886DD53549526AABA192C127904046AA12007DA81D75D2G1S0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SNalog\Agreemen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75D9-702B-4ADD-9DE9-6C06B50A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52</TotalTime>
  <Pages>4</Pages>
  <Words>1710</Words>
  <Characters>12861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Systems</Company>
  <LinksUpToDate>false</LinksUpToDate>
  <CharactersWithSpaces>14542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https://lkfl.nalog.ru/lk/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4339-00-013</dc:creator>
  <cp:lastModifiedBy>4339-00-013</cp:lastModifiedBy>
  <cp:revision>9</cp:revision>
  <cp:lastPrinted>2019-02-27T10:54:00Z</cp:lastPrinted>
  <dcterms:created xsi:type="dcterms:W3CDTF">2019-02-25T10:36:00Z</dcterms:created>
  <dcterms:modified xsi:type="dcterms:W3CDTF">2019-02-28T11:58:00Z</dcterms:modified>
</cp:coreProperties>
</file>